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A50" w:rsidRPr="00C91540" w:rsidRDefault="001A4A50" w:rsidP="001A4A5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91540">
        <w:rPr>
          <w:rFonts w:ascii="Times New Roman" w:hAnsi="Times New Roman" w:cs="Times New Roman"/>
          <w:sz w:val="24"/>
          <w:szCs w:val="24"/>
        </w:rPr>
        <w:t>Утверждена</w:t>
      </w:r>
    </w:p>
    <w:p w:rsidR="001A4A50" w:rsidRPr="00C91540" w:rsidRDefault="001A4A50" w:rsidP="001A4A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91540">
        <w:rPr>
          <w:rFonts w:ascii="Times New Roman" w:hAnsi="Times New Roman" w:cs="Times New Roman"/>
          <w:sz w:val="24"/>
          <w:szCs w:val="24"/>
        </w:rPr>
        <w:t>постановлением</w:t>
      </w:r>
    </w:p>
    <w:p w:rsidR="001A4A50" w:rsidRPr="00C91540" w:rsidRDefault="001A4A50" w:rsidP="001A4A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91540">
        <w:rPr>
          <w:rFonts w:ascii="Times New Roman" w:hAnsi="Times New Roman" w:cs="Times New Roman"/>
          <w:sz w:val="24"/>
          <w:szCs w:val="24"/>
        </w:rPr>
        <w:t>Правительства</w:t>
      </w:r>
    </w:p>
    <w:p w:rsidR="001A4A50" w:rsidRPr="00C91540" w:rsidRDefault="001A4A50" w:rsidP="001A4A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91540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:rsidR="001A4A50" w:rsidRPr="00C91540" w:rsidRDefault="001A4A50" w:rsidP="001A4A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91540">
        <w:rPr>
          <w:rFonts w:ascii="Times New Roman" w:hAnsi="Times New Roman" w:cs="Times New Roman"/>
          <w:sz w:val="24"/>
          <w:szCs w:val="24"/>
        </w:rPr>
        <w:t>от 27 ноября 2019 г. N 206-ПП</w:t>
      </w:r>
    </w:p>
    <w:p w:rsidR="001A4A50" w:rsidRPr="00C91540" w:rsidRDefault="001A4A50" w:rsidP="001A4A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4A50" w:rsidRPr="00C91540" w:rsidRDefault="001A4A50" w:rsidP="001A4A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1540">
        <w:rPr>
          <w:rFonts w:ascii="Times New Roman" w:hAnsi="Times New Roman" w:cs="Times New Roman"/>
          <w:b/>
          <w:bCs/>
          <w:sz w:val="24"/>
          <w:szCs w:val="24"/>
        </w:rPr>
        <w:t>ГОСУДАРСТВЕННАЯ ПРОГРАММА</w:t>
      </w:r>
    </w:p>
    <w:p w:rsidR="001A4A50" w:rsidRPr="00C91540" w:rsidRDefault="001A4A50" w:rsidP="001A4A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1540">
        <w:rPr>
          <w:rFonts w:ascii="Times New Roman" w:hAnsi="Times New Roman" w:cs="Times New Roman"/>
          <w:b/>
          <w:bCs/>
          <w:sz w:val="24"/>
          <w:szCs w:val="24"/>
        </w:rPr>
        <w:t>КАБАРДИНО-БАЛКАРСКОЙ РЕСПУБЛИКИ</w:t>
      </w:r>
    </w:p>
    <w:p w:rsidR="001A4A50" w:rsidRPr="00C91540" w:rsidRDefault="001A4A50" w:rsidP="001A4A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1540">
        <w:rPr>
          <w:rFonts w:ascii="Times New Roman" w:hAnsi="Times New Roman" w:cs="Times New Roman"/>
          <w:b/>
          <w:bCs/>
          <w:sz w:val="24"/>
          <w:szCs w:val="24"/>
        </w:rPr>
        <w:t>"ОХРАНА ОКРУЖАЮЩЕЙ СРЕДЫ, ВОСПРОИЗВОДСТВО И ИСПОЛЬЗОВАНИЕ</w:t>
      </w:r>
    </w:p>
    <w:p w:rsidR="001A4A50" w:rsidRPr="00C91540" w:rsidRDefault="001A4A50" w:rsidP="001A4A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1540">
        <w:rPr>
          <w:rFonts w:ascii="Times New Roman" w:hAnsi="Times New Roman" w:cs="Times New Roman"/>
          <w:b/>
          <w:bCs/>
          <w:sz w:val="24"/>
          <w:szCs w:val="24"/>
        </w:rPr>
        <w:t>ПРИРОДНЫХ РЕСУРСОВ В КАБАРДИНО-БАЛКАРСКОЙ РЕСПУБЛИКЕ"</w:t>
      </w:r>
    </w:p>
    <w:p w:rsidR="001A4A50" w:rsidRPr="00C91540" w:rsidRDefault="001A4A50" w:rsidP="001A4A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A50" w:rsidRPr="00C91540" w:rsidRDefault="001A4A50" w:rsidP="001A4A5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C91540">
        <w:rPr>
          <w:rFonts w:ascii="Times New Roman" w:hAnsi="Times New Roman" w:cs="Times New Roman"/>
          <w:b/>
          <w:bCs/>
          <w:sz w:val="24"/>
          <w:szCs w:val="24"/>
        </w:rPr>
        <w:t>Паспорт государственной программы</w:t>
      </w:r>
    </w:p>
    <w:p w:rsidR="001A4A50" w:rsidRPr="00C91540" w:rsidRDefault="001A4A50" w:rsidP="001A4A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1540">
        <w:rPr>
          <w:rFonts w:ascii="Times New Roman" w:hAnsi="Times New Roman" w:cs="Times New Roman"/>
          <w:b/>
          <w:bCs/>
          <w:sz w:val="24"/>
          <w:szCs w:val="24"/>
        </w:rPr>
        <w:t>Кабардино-Балкарской Республики</w:t>
      </w:r>
    </w:p>
    <w:p w:rsidR="001A4A50" w:rsidRPr="00C91540" w:rsidRDefault="001A4A50" w:rsidP="001A4A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1540">
        <w:rPr>
          <w:rFonts w:ascii="Times New Roman" w:hAnsi="Times New Roman" w:cs="Times New Roman"/>
          <w:b/>
          <w:bCs/>
          <w:sz w:val="24"/>
          <w:szCs w:val="24"/>
        </w:rPr>
        <w:t>"Охрана окружающей среды, воспроизводство и использование</w:t>
      </w:r>
    </w:p>
    <w:p w:rsidR="001A4A50" w:rsidRPr="00C91540" w:rsidRDefault="001A4A50" w:rsidP="001A4A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1540">
        <w:rPr>
          <w:rFonts w:ascii="Times New Roman" w:hAnsi="Times New Roman" w:cs="Times New Roman"/>
          <w:b/>
          <w:bCs/>
          <w:sz w:val="24"/>
          <w:szCs w:val="24"/>
        </w:rPr>
        <w:t>природных ресурсов в Кабардино-Балкарской Республике"</w:t>
      </w:r>
    </w:p>
    <w:p w:rsidR="001A4A50" w:rsidRPr="00C91540" w:rsidRDefault="001A4A50" w:rsidP="001A4A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4A50" w:rsidRPr="00C91540" w:rsidRDefault="001A4A50" w:rsidP="001A4A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91540">
        <w:rPr>
          <w:rFonts w:ascii="Times New Roman" w:hAnsi="Times New Roman" w:cs="Times New Roman"/>
          <w:sz w:val="24"/>
          <w:szCs w:val="24"/>
        </w:rPr>
        <w:t>(в ред. Постановлений Правительства КБР</w:t>
      </w:r>
    </w:p>
    <w:p w:rsidR="001A4A50" w:rsidRPr="00C91540" w:rsidRDefault="001A4A50" w:rsidP="001A4A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91540">
        <w:rPr>
          <w:rFonts w:ascii="Times New Roman" w:hAnsi="Times New Roman" w:cs="Times New Roman"/>
          <w:sz w:val="24"/>
          <w:szCs w:val="24"/>
        </w:rPr>
        <w:t xml:space="preserve">от 17.08.2020 </w:t>
      </w:r>
      <w:hyperlink r:id="rId4" w:history="1">
        <w:r w:rsidRPr="00C91540">
          <w:rPr>
            <w:rFonts w:ascii="Times New Roman" w:hAnsi="Times New Roman" w:cs="Times New Roman"/>
            <w:color w:val="0000FF"/>
            <w:sz w:val="24"/>
            <w:szCs w:val="24"/>
          </w:rPr>
          <w:t>N 174-ПП</w:t>
        </w:r>
      </w:hyperlink>
      <w:r w:rsidRPr="00C91540">
        <w:rPr>
          <w:rFonts w:ascii="Times New Roman" w:hAnsi="Times New Roman" w:cs="Times New Roman"/>
          <w:sz w:val="24"/>
          <w:szCs w:val="24"/>
        </w:rPr>
        <w:t xml:space="preserve">, от 19.07.2021 </w:t>
      </w:r>
      <w:hyperlink r:id="rId5" w:history="1">
        <w:r w:rsidRPr="00C91540">
          <w:rPr>
            <w:rFonts w:ascii="Times New Roman" w:hAnsi="Times New Roman" w:cs="Times New Roman"/>
            <w:color w:val="0000FF"/>
            <w:sz w:val="24"/>
            <w:szCs w:val="24"/>
          </w:rPr>
          <w:t>N 156-ПП</w:t>
        </w:r>
      </w:hyperlink>
      <w:r w:rsidRPr="00C91540">
        <w:rPr>
          <w:rFonts w:ascii="Times New Roman" w:hAnsi="Times New Roman" w:cs="Times New Roman"/>
          <w:sz w:val="24"/>
          <w:szCs w:val="24"/>
        </w:rPr>
        <w:t>,</w:t>
      </w:r>
    </w:p>
    <w:p w:rsidR="001A4A50" w:rsidRPr="00C91540" w:rsidRDefault="001A4A50" w:rsidP="001A4A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91540">
        <w:rPr>
          <w:rFonts w:ascii="Times New Roman" w:hAnsi="Times New Roman" w:cs="Times New Roman"/>
          <w:sz w:val="24"/>
          <w:szCs w:val="24"/>
        </w:rPr>
        <w:t xml:space="preserve">от 05.10.2021 </w:t>
      </w:r>
      <w:hyperlink r:id="rId6" w:history="1">
        <w:r w:rsidRPr="00C91540">
          <w:rPr>
            <w:rFonts w:ascii="Times New Roman" w:hAnsi="Times New Roman" w:cs="Times New Roman"/>
            <w:color w:val="0000FF"/>
            <w:sz w:val="24"/>
            <w:szCs w:val="24"/>
          </w:rPr>
          <w:t>N 199-ПП</w:t>
        </w:r>
      </w:hyperlink>
      <w:r w:rsidRPr="00C91540">
        <w:rPr>
          <w:rFonts w:ascii="Times New Roman" w:hAnsi="Times New Roman" w:cs="Times New Roman"/>
          <w:sz w:val="24"/>
          <w:szCs w:val="24"/>
        </w:rPr>
        <w:t xml:space="preserve">, от 05.03.2022 </w:t>
      </w:r>
      <w:hyperlink r:id="rId7" w:history="1">
        <w:r w:rsidRPr="00C91540">
          <w:rPr>
            <w:rFonts w:ascii="Times New Roman" w:hAnsi="Times New Roman" w:cs="Times New Roman"/>
            <w:color w:val="0000FF"/>
            <w:sz w:val="24"/>
            <w:szCs w:val="24"/>
          </w:rPr>
          <w:t>N 44-ПП</w:t>
        </w:r>
      </w:hyperlink>
      <w:r w:rsidRPr="00C91540">
        <w:rPr>
          <w:rFonts w:ascii="Times New Roman" w:hAnsi="Times New Roman" w:cs="Times New Roman"/>
          <w:sz w:val="24"/>
          <w:szCs w:val="24"/>
        </w:rPr>
        <w:t>,</w:t>
      </w:r>
    </w:p>
    <w:p w:rsidR="001A4A50" w:rsidRPr="00C91540" w:rsidRDefault="001A4A50" w:rsidP="001A4A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91540">
        <w:rPr>
          <w:rFonts w:ascii="Times New Roman" w:hAnsi="Times New Roman" w:cs="Times New Roman"/>
          <w:sz w:val="24"/>
          <w:szCs w:val="24"/>
        </w:rPr>
        <w:t xml:space="preserve">от 25.04.2022 </w:t>
      </w:r>
      <w:hyperlink r:id="rId8" w:history="1">
        <w:r w:rsidRPr="00C91540">
          <w:rPr>
            <w:rFonts w:ascii="Times New Roman" w:hAnsi="Times New Roman" w:cs="Times New Roman"/>
            <w:color w:val="0000FF"/>
            <w:sz w:val="24"/>
            <w:szCs w:val="24"/>
          </w:rPr>
          <w:t>N 90-ПП</w:t>
        </w:r>
      </w:hyperlink>
      <w:r w:rsidRPr="00C91540">
        <w:rPr>
          <w:rFonts w:ascii="Times New Roman" w:hAnsi="Times New Roman" w:cs="Times New Roman"/>
          <w:sz w:val="24"/>
          <w:szCs w:val="24"/>
        </w:rPr>
        <w:t xml:space="preserve">, от 01.08.2022 </w:t>
      </w:r>
      <w:hyperlink r:id="rId9" w:history="1">
        <w:r w:rsidRPr="00C91540">
          <w:rPr>
            <w:rFonts w:ascii="Times New Roman" w:hAnsi="Times New Roman" w:cs="Times New Roman"/>
            <w:color w:val="0000FF"/>
            <w:sz w:val="24"/>
            <w:szCs w:val="24"/>
          </w:rPr>
          <w:t>N 181-ПП</w:t>
        </w:r>
      </w:hyperlink>
      <w:r w:rsidRPr="00C91540">
        <w:rPr>
          <w:rFonts w:ascii="Times New Roman" w:hAnsi="Times New Roman" w:cs="Times New Roman"/>
          <w:sz w:val="24"/>
          <w:szCs w:val="24"/>
        </w:rPr>
        <w:t>,</w:t>
      </w:r>
    </w:p>
    <w:p w:rsidR="001A4A50" w:rsidRPr="00C91540" w:rsidRDefault="001A4A50" w:rsidP="001A4A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91540">
        <w:rPr>
          <w:rFonts w:ascii="Times New Roman" w:hAnsi="Times New Roman" w:cs="Times New Roman"/>
          <w:sz w:val="24"/>
          <w:szCs w:val="24"/>
        </w:rPr>
        <w:t xml:space="preserve">от 09.09.2022 </w:t>
      </w:r>
      <w:hyperlink r:id="rId10" w:history="1">
        <w:r w:rsidRPr="00C91540">
          <w:rPr>
            <w:rFonts w:ascii="Times New Roman" w:hAnsi="Times New Roman" w:cs="Times New Roman"/>
            <w:color w:val="0000FF"/>
            <w:sz w:val="24"/>
            <w:szCs w:val="24"/>
          </w:rPr>
          <w:t>N 200-ПП</w:t>
        </w:r>
      </w:hyperlink>
      <w:r w:rsidRPr="00C91540">
        <w:rPr>
          <w:rFonts w:ascii="Times New Roman" w:hAnsi="Times New Roman" w:cs="Times New Roman"/>
          <w:sz w:val="24"/>
          <w:szCs w:val="24"/>
        </w:rPr>
        <w:t>)</w:t>
      </w:r>
    </w:p>
    <w:p w:rsidR="001A4A50" w:rsidRPr="00C91540" w:rsidRDefault="001A4A50" w:rsidP="001A4A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28"/>
        <w:gridCol w:w="7143"/>
      </w:tblGrid>
      <w:tr w:rsidR="001A4A50" w:rsidRPr="00C91540">
        <w:tc>
          <w:tcPr>
            <w:tcW w:w="1928" w:type="dxa"/>
          </w:tcPr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Наименование государственной программы</w:t>
            </w:r>
          </w:p>
        </w:tc>
        <w:tc>
          <w:tcPr>
            <w:tcW w:w="7143" w:type="dxa"/>
          </w:tcPr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"Охрана окружающей среды, воспроизводство и использование природных ресурсов в Кабардино-Балкарской Республике"</w:t>
            </w:r>
          </w:p>
        </w:tc>
      </w:tr>
      <w:tr w:rsidR="001A4A50" w:rsidRPr="00C91540">
        <w:tc>
          <w:tcPr>
            <w:tcW w:w="1928" w:type="dxa"/>
          </w:tcPr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Координатор государственной программы</w:t>
            </w:r>
          </w:p>
        </w:tc>
        <w:tc>
          <w:tcPr>
            <w:tcW w:w="7143" w:type="dxa"/>
          </w:tcPr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Министерство природных ресурсов и экологии Кабардино-Балкарской Республики</w:t>
            </w:r>
            <w:bookmarkStart w:id="0" w:name="_GoBack"/>
            <w:bookmarkEnd w:id="0"/>
          </w:p>
        </w:tc>
      </w:tr>
      <w:tr w:rsidR="001A4A50" w:rsidRPr="00C91540">
        <w:tc>
          <w:tcPr>
            <w:tcW w:w="1928" w:type="dxa"/>
          </w:tcPr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Исполнители государственной программы</w:t>
            </w:r>
          </w:p>
        </w:tc>
        <w:tc>
          <w:tcPr>
            <w:tcW w:w="7143" w:type="dxa"/>
          </w:tcPr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Министерство природных ресурсов и экологии Кабардино-Балкарской Республики;</w:t>
            </w:r>
          </w:p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Министерство просвещения, науки и по делам молодежи Кабардино-Балкарской Республики;</w:t>
            </w:r>
          </w:p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Министерство строительства и жилищно-коммунального хозяйства Кабардино-Балкарской Республики;</w:t>
            </w:r>
          </w:p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Министерство культуры Кабардино-Балкарской Республики;</w:t>
            </w:r>
          </w:p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Министерство сельского хозяйства Кабардино-Балкарской Республики;</w:t>
            </w:r>
          </w:p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Главное управление Министерства Российской Федерации по делам гражданской обороны, чрезвычайным ситуациям и ликвидации последствий стихийных бедствий по Кабардино-Балкарской Республике</w:t>
            </w:r>
          </w:p>
        </w:tc>
      </w:tr>
      <w:tr w:rsidR="001A4A50" w:rsidRPr="00C91540">
        <w:tc>
          <w:tcPr>
            <w:tcW w:w="1928" w:type="dxa"/>
          </w:tcPr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Подпрограммы государственной программы</w:t>
            </w:r>
          </w:p>
        </w:tc>
        <w:tc>
          <w:tcPr>
            <w:tcW w:w="7143" w:type="dxa"/>
          </w:tcPr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hyperlink r:id="rId11" w:history="1">
              <w:r w:rsidRPr="00C9154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Регулирование качества</w:t>
              </w:r>
            </w:hyperlink>
            <w:r w:rsidRPr="00C91540">
              <w:rPr>
                <w:rFonts w:ascii="Times New Roman" w:hAnsi="Times New Roman" w:cs="Times New Roman"/>
                <w:sz w:val="24"/>
                <w:szCs w:val="24"/>
              </w:rPr>
              <w:t xml:space="preserve"> окружающей среды";</w:t>
            </w:r>
          </w:p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hyperlink r:id="rId12" w:history="1">
              <w:r w:rsidRPr="00C9154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Биологическое разнообразие</w:t>
              </w:r>
            </w:hyperlink>
            <w:r w:rsidRPr="00C91540">
              <w:rPr>
                <w:rFonts w:ascii="Times New Roman" w:hAnsi="Times New Roman" w:cs="Times New Roman"/>
                <w:sz w:val="24"/>
                <w:szCs w:val="24"/>
              </w:rPr>
              <w:t xml:space="preserve"> Кабардино-Балкарской Республики";</w:t>
            </w:r>
          </w:p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hyperlink r:id="rId13" w:history="1">
              <w:r w:rsidRPr="00C9154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Использование водных</w:t>
              </w:r>
            </w:hyperlink>
            <w:r w:rsidRPr="00C91540">
              <w:rPr>
                <w:rFonts w:ascii="Times New Roman" w:hAnsi="Times New Roman" w:cs="Times New Roman"/>
                <w:sz w:val="24"/>
                <w:szCs w:val="24"/>
              </w:rPr>
              <w:t xml:space="preserve"> ресурсов";</w:t>
            </w:r>
          </w:p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hyperlink r:id="rId14" w:history="1">
              <w:r w:rsidRPr="00C9154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Сохранение и воспроизводство</w:t>
              </w:r>
            </w:hyperlink>
            <w:r w:rsidRPr="00C91540">
              <w:rPr>
                <w:rFonts w:ascii="Times New Roman" w:hAnsi="Times New Roman" w:cs="Times New Roman"/>
                <w:sz w:val="24"/>
                <w:szCs w:val="24"/>
              </w:rPr>
              <w:t xml:space="preserve"> охотничьих ресурсов";</w:t>
            </w:r>
          </w:p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hyperlink r:id="rId15" w:history="1">
              <w:r w:rsidRPr="00C9154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Экологическое образование</w:t>
              </w:r>
            </w:hyperlink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, воспитание и просвещение населения";</w:t>
            </w:r>
          </w:p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hyperlink r:id="rId16" w:history="1">
              <w:r w:rsidRPr="00C9154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Гидрометеорология и мониторинг</w:t>
              </w:r>
            </w:hyperlink>
            <w:r w:rsidRPr="00C91540">
              <w:rPr>
                <w:rFonts w:ascii="Times New Roman" w:hAnsi="Times New Roman" w:cs="Times New Roman"/>
                <w:sz w:val="24"/>
                <w:szCs w:val="24"/>
              </w:rPr>
              <w:t xml:space="preserve"> окружающей среды";</w:t>
            </w:r>
          </w:p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hyperlink r:id="rId17" w:history="1">
              <w:r w:rsidRPr="00C9154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Обеспечение реализации</w:t>
              </w:r>
            </w:hyperlink>
            <w:r w:rsidRPr="00C91540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государственной программы Кабардино-Балкарской Республики "Охрана окружающей среды, воспроизводство и использование природных ресурсов в Кабардино-Балкарской Республике"</w:t>
            </w:r>
          </w:p>
        </w:tc>
      </w:tr>
      <w:tr w:rsidR="001A4A50" w:rsidRPr="00C91540">
        <w:tc>
          <w:tcPr>
            <w:tcW w:w="1928" w:type="dxa"/>
          </w:tcPr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Цели государственной программы</w:t>
            </w:r>
          </w:p>
        </w:tc>
        <w:tc>
          <w:tcPr>
            <w:tcW w:w="7143" w:type="dxa"/>
          </w:tcPr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повышение защищенности окружающей среды от негативных природных явлений и антропогенного воздействия для обеспечения безопасности жизнедеятельности человека и окружающей среды и устойчивого развития экономики Кабардино-Балкарской Республики;</w:t>
            </w:r>
          </w:p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обеспечение стабильного и эффективного функционирования особо охраняемых природных территорий регионального значения;</w:t>
            </w:r>
          </w:p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устойчивого существования и воспроизводства объектов растительного, животного мира и минерально-сырьевых ресурсов;</w:t>
            </w:r>
          </w:p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формирование экологической культуры в обществе;</w:t>
            </w:r>
          </w:p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воспитание бережного отношения к природе;</w:t>
            </w:r>
          </w:p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повышение уровня защищенности жизненно важных интересов личности, общества и государства от воздействия опасных природных явлений, изменения климата (обеспечение гидрометеорологической безопасности);</w:t>
            </w:r>
          </w:p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потребностей населения, органов государственной власти Кабардино-Балкарской </w:t>
            </w:r>
            <w:r w:rsidRPr="00C915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Республики, секторов экономики в гидрометеорологической и гелиогеофизической информации, а также в информации о состоянии окружающей среды, ее загрязнении;</w:t>
            </w:r>
          </w:p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ликвидация несанкционированных свалок, в том числе в границах городов;</w:t>
            </w:r>
          </w:p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ликвидация опасных объектов накопленного экологического вреда;</w:t>
            </w:r>
          </w:p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введение в промышленную эксплуатацию мощностей по обработке твердых коммунальных отходов и мощностей по утилизации отходов и фракций после обработки твердых коммунальных отходов</w:t>
            </w:r>
          </w:p>
        </w:tc>
      </w:tr>
      <w:tr w:rsidR="001A4A50" w:rsidRPr="00C91540">
        <w:tc>
          <w:tcPr>
            <w:tcW w:w="1928" w:type="dxa"/>
          </w:tcPr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Задачи государственной программы</w:t>
            </w:r>
          </w:p>
        </w:tc>
        <w:tc>
          <w:tcPr>
            <w:tcW w:w="7143" w:type="dxa"/>
          </w:tcPr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организация и развитие комплексной системы мониторинга, оценки и прогнозирования в сфере охраны окружающей среды и природопользования;</w:t>
            </w:r>
          </w:p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обеспечение защищенности компонентов окружающей среды в условиях дальнейшего экономического развития посредством снижения негативного воздействия на окружающую среду при осуществлении деятельности субъектами хозяйственной и иной деятельности;</w:t>
            </w:r>
          </w:p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обеспечение рационального использования минерально-сырьевых и водных ресурсов;</w:t>
            </w:r>
          </w:p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воспитание и пропаганда экологической культуры и охраны окружающей среды;</w:t>
            </w:r>
          </w:p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функционирования системы гидрометеорологии и мониторинга окружающей среды;</w:t>
            </w:r>
          </w:p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рекультивация земельных участков, на которых расположены выявленные на 1 января 2018 г. несанкционированные свалки, в том числе выявленные в границах городов;</w:t>
            </w:r>
          </w:p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формирование комплексной системы обращения с твердыми коммунальными отходами, включая создание условий для вторичной переработки всех запрещенных к захоронению отходов производства и потребления</w:t>
            </w:r>
          </w:p>
        </w:tc>
      </w:tr>
      <w:tr w:rsidR="001A4A50" w:rsidRPr="00C91540">
        <w:tc>
          <w:tcPr>
            <w:tcW w:w="1928" w:type="dxa"/>
          </w:tcPr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Целевые индикаторы и показатели государственной программы</w:t>
            </w:r>
          </w:p>
        </w:tc>
        <w:tc>
          <w:tcPr>
            <w:tcW w:w="7143" w:type="dxa"/>
          </w:tcPr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объем твердых коммунальных отходов, направленных на обработку, нарастающим итогом, млн тонн;</w:t>
            </w:r>
          </w:p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объем твердых коммунальных отходов, направленных на утилизацию (вторичную переработку), нарастающим итогом, млн тонн;</w:t>
            </w:r>
          </w:p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доля импорта оборудования для обработки, утилизации и обезвреживания отходов;</w:t>
            </w:r>
          </w:p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 xml:space="preserve">протяженность установленных границ </w:t>
            </w:r>
            <w:proofErr w:type="spellStart"/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водоохранных</w:t>
            </w:r>
            <w:proofErr w:type="spellEnd"/>
            <w:r w:rsidRPr="00C91540">
              <w:rPr>
                <w:rFonts w:ascii="Times New Roman" w:hAnsi="Times New Roman" w:cs="Times New Roman"/>
                <w:sz w:val="24"/>
                <w:szCs w:val="24"/>
              </w:rPr>
              <w:t xml:space="preserve"> зон и границ прибрежных защитных полос водных объектов, км;</w:t>
            </w:r>
          </w:p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протяженность вынесенных в натуру границ </w:t>
            </w:r>
            <w:proofErr w:type="spellStart"/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водоохранных</w:t>
            </w:r>
            <w:proofErr w:type="spellEnd"/>
            <w:r w:rsidRPr="00C91540">
              <w:rPr>
                <w:rFonts w:ascii="Times New Roman" w:hAnsi="Times New Roman" w:cs="Times New Roman"/>
                <w:sz w:val="24"/>
                <w:szCs w:val="24"/>
              </w:rPr>
              <w:t xml:space="preserve"> зон и границ прибрежных защитных полос водных объектов специальными информационными знаками, км;</w:t>
            </w:r>
          </w:p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количество гидротехнических сооружений с неудовлетворительным уровнем безопасности, приведенных в безопасное техническое состояние, ед.;</w:t>
            </w:r>
          </w:p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 xml:space="preserve">протяженность новых и реконструированных сооружений инженерной защиты и </w:t>
            </w:r>
            <w:proofErr w:type="spellStart"/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берегоукрепления</w:t>
            </w:r>
            <w:proofErr w:type="spellEnd"/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, км;</w:t>
            </w:r>
          </w:p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доля площади территории Кабардино-Балкарской Республики, занятая особо охраняемыми природными территориями регионального значения (в процентах);</w:t>
            </w:r>
          </w:p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количество утвержденных паспортов и внесенных в земельный кадастр сведений о границах памятников природы;</w:t>
            </w:r>
          </w:p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количество особо охраняемых природных территорий регионального значения, обозначенных на местности информационными и предупредительными знаками (аншлагами);</w:t>
            </w:r>
          </w:p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количество установленных шлагбаумов, выделенных специальных мест отдыха, специальных участков для стоянки автотранспортных средств;</w:t>
            </w:r>
          </w:p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 xml:space="preserve">доля площади охотничьих угодий, на которых проведено внутрихозяйственное </w:t>
            </w:r>
            <w:proofErr w:type="spellStart"/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охотустройство</w:t>
            </w:r>
            <w:proofErr w:type="spellEnd"/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 xml:space="preserve">доля площади закрепленных </w:t>
            </w:r>
            <w:proofErr w:type="spellStart"/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охотугодий</w:t>
            </w:r>
            <w:proofErr w:type="spellEnd"/>
            <w:r w:rsidRPr="00C91540">
              <w:rPr>
                <w:rFonts w:ascii="Times New Roman" w:hAnsi="Times New Roman" w:cs="Times New Roman"/>
                <w:sz w:val="24"/>
                <w:szCs w:val="24"/>
              </w:rPr>
              <w:t xml:space="preserve"> к общей площади </w:t>
            </w:r>
            <w:proofErr w:type="spellStart"/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охотугодий</w:t>
            </w:r>
            <w:proofErr w:type="spellEnd"/>
            <w:r w:rsidRPr="00C91540">
              <w:rPr>
                <w:rFonts w:ascii="Times New Roman" w:hAnsi="Times New Roman" w:cs="Times New Roman"/>
                <w:sz w:val="24"/>
                <w:szCs w:val="24"/>
              </w:rPr>
              <w:t xml:space="preserve"> Кабардино-Балкарской Республики;</w:t>
            </w:r>
          </w:p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доля фактической добычи охотничьих ресурсов к установленным лимитам добычи;</w:t>
            </w:r>
          </w:p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доля видов охотничьих ресурсов, по которым ведется мониторинг численности, к общему количеству видов охотничьих ресурсов, обитающих на территории Кабардино-Балкарской Республики;</w:t>
            </w:r>
          </w:p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доля видов охотничьих ресурсов, по которым ведется учет добычи, к общему количеству видов охотничьих ресурсов, обитающих на территории Кабардино-Балкарской Республики;</w:t>
            </w:r>
          </w:p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численность преподавателей образовательных организаций, прошедших повышение квалификации по экологии, чел.;</w:t>
            </w:r>
          </w:p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количество библиотек, образовательных организаций, обеспеченных современной экологической литературой (в единицах);</w:t>
            </w:r>
          </w:p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численность взрослого населения, участвующего в экологических акциях, субботниках (человек);</w:t>
            </w:r>
          </w:p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образовательных организаций в республике, работающих по программе экологического воспитания и просвещения (в единицах);</w:t>
            </w:r>
          </w:p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численность участников олимпиад, конкурсов экологического направления (человек);</w:t>
            </w:r>
          </w:p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количество находящихся в эксплуатации мусороперерабатывающих заводов;</w:t>
            </w:r>
          </w:p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spellStart"/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эксплуатирующихся</w:t>
            </w:r>
            <w:proofErr w:type="spellEnd"/>
            <w:r w:rsidRPr="00C91540">
              <w:rPr>
                <w:rFonts w:ascii="Times New Roman" w:hAnsi="Times New Roman" w:cs="Times New Roman"/>
                <w:sz w:val="24"/>
                <w:szCs w:val="24"/>
              </w:rPr>
              <w:t xml:space="preserve"> полигонов для захоронения отходов производства и потребления;</w:t>
            </w:r>
          </w:p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закрытых и </w:t>
            </w:r>
            <w:proofErr w:type="spellStart"/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рекультивированных</w:t>
            </w:r>
            <w:proofErr w:type="spellEnd"/>
            <w:r w:rsidRPr="00C91540">
              <w:rPr>
                <w:rFonts w:ascii="Times New Roman" w:hAnsi="Times New Roman" w:cs="Times New Roman"/>
                <w:sz w:val="24"/>
                <w:szCs w:val="24"/>
              </w:rPr>
              <w:t xml:space="preserve"> свалок коммунальных отходов;</w:t>
            </w:r>
          </w:p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количество ликвидированных несанкционированных мест размещения твердых коммунальных отходов с последующей их реконструкцией;</w:t>
            </w:r>
          </w:p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proofErr w:type="spellStart"/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рекультивированных</w:t>
            </w:r>
            <w:proofErr w:type="spellEnd"/>
            <w:r w:rsidRPr="00C91540">
              <w:rPr>
                <w:rFonts w:ascii="Times New Roman" w:hAnsi="Times New Roman" w:cs="Times New Roman"/>
                <w:sz w:val="24"/>
                <w:szCs w:val="24"/>
              </w:rPr>
              <w:t xml:space="preserve"> земель в общей площади земель, загрязненных в результате хозяйственной и иной деятельности;</w:t>
            </w:r>
          </w:p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охват населенных пунктов системой сбора и удаления отходов к их общему количеству;</w:t>
            </w:r>
          </w:p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оправдываемость</w:t>
            </w:r>
            <w:proofErr w:type="spellEnd"/>
            <w:r w:rsidRPr="00C91540">
              <w:rPr>
                <w:rFonts w:ascii="Times New Roman" w:hAnsi="Times New Roman" w:cs="Times New Roman"/>
                <w:sz w:val="24"/>
                <w:szCs w:val="24"/>
              </w:rPr>
              <w:t xml:space="preserve"> штормовых предупреждений об опасных природных (гидрометеорологических) явлениях;</w:t>
            </w:r>
          </w:p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оправдываемость</w:t>
            </w:r>
            <w:proofErr w:type="spellEnd"/>
            <w:r w:rsidRPr="00C91540">
              <w:rPr>
                <w:rFonts w:ascii="Times New Roman" w:hAnsi="Times New Roman" w:cs="Times New Roman"/>
                <w:sz w:val="24"/>
                <w:szCs w:val="24"/>
              </w:rPr>
              <w:t xml:space="preserve"> суточных прогнозов погоды;</w:t>
            </w:r>
          </w:p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степень сокращения потерь от града на защищенной территории;</w:t>
            </w:r>
          </w:p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 xml:space="preserve">общая площадь восстановленных, в том числе </w:t>
            </w:r>
            <w:proofErr w:type="spellStart"/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рекультивированных</w:t>
            </w:r>
            <w:proofErr w:type="spellEnd"/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, земель, подверженных негативному воздействию накопленного вреда окружающей среде</w:t>
            </w:r>
          </w:p>
        </w:tc>
      </w:tr>
      <w:tr w:rsidR="001A4A50" w:rsidRPr="00C91540">
        <w:tc>
          <w:tcPr>
            <w:tcW w:w="9071" w:type="dxa"/>
            <w:gridSpan w:val="2"/>
          </w:tcPr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(позиция в ред. </w:t>
            </w:r>
            <w:hyperlink r:id="rId18" w:history="1">
              <w:r w:rsidRPr="00C9154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Постановления</w:t>
              </w:r>
            </w:hyperlink>
            <w:r w:rsidRPr="00C91540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КБР от 17.08.2020 N 174-ПП)</w:t>
            </w:r>
          </w:p>
        </w:tc>
      </w:tr>
      <w:tr w:rsidR="001A4A50" w:rsidRPr="00C91540">
        <w:tc>
          <w:tcPr>
            <w:tcW w:w="1928" w:type="dxa"/>
          </w:tcPr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Этапы и сроки реализации государственной программы</w:t>
            </w:r>
          </w:p>
        </w:tc>
        <w:tc>
          <w:tcPr>
            <w:tcW w:w="7143" w:type="dxa"/>
          </w:tcPr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срок реализации государственной программы - 2021 - 2025 годы, государственная программа реализуется в один этап</w:t>
            </w:r>
          </w:p>
        </w:tc>
      </w:tr>
      <w:tr w:rsidR="001A4A50" w:rsidRPr="00C91540">
        <w:tc>
          <w:tcPr>
            <w:tcW w:w="1928" w:type="dxa"/>
          </w:tcPr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Объемы бюджетных ассигнований государственной программы</w:t>
            </w:r>
          </w:p>
        </w:tc>
        <w:tc>
          <w:tcPr>
            <w:tcW w:w="7143" w:type="dxa"/>
          </w:tcPr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объем ресурсного обеспечения реализации государственной программы за счет всех источников финансирования составляет 2846987,07 тыс. рублей (в текущих ценах), в том числе:</w:t>
            </w:r>
          </w:p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2021 год - 844467,91 тыс. рублей;</w:t>
            </w:r>
          </w:p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2022 год - 778514,45 тыс. рублей;</w:t>
            </w:r>
          </w:p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2023 год - 343960,39 тыс. рублей;</w:t>
            </w:r>
          </w:p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2024 год - 584926,62 тыс. рублей;</w:t>
            </w:r>
          </w:p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2025 год - 295117,70 тыс. рублей,</w:t>
            </w:r>
          </w:p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 них:</w:t>
            </w:r>
          </w:p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за счет средств федерального бюджета - 1584851,10 тыс. рублей, в том числе:</w:t>
            </w:r>
          </w:p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2021 год - 282762,30 тыс. рублей;</w:t>
            </w:r>
          </w:p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2022 год - 493117,20 тыс. рублей;</w:t>
            </w:r>
          </w:p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2023 год - 210803,60 тыс. рублей;</w:t>
            </w:r>
          </w:p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2024 год - 441075,60 тыс. рублей;</w:t>
            </w:r>
          </w:p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2025 год - 157092,40 тыс. рублей;</w:t>
            </w:r>
          </w:p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за счет средств республиканского бюджета Кабардино-Балкарской Республики - 463056,57 тыс. рублей, в том числе:</w:t>
            </w:r>
          </w:p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2021 год - 140405,61 тыс. рублей;</w:t>
            </w:r>
          </w:p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2022 год - 158717,25 тыс. рублей;</w:t>
            </w:r>
          </w:p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2023 год - 50856,79 тыс. рублей;</w:t>
            </w:r>
          </w:p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2024 год - 58804,62 тыс. рублей;</w:t>
            </w:r>
          </w:p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2025 год - 54242,30 тыс. рублей;</w:t>
            </w:r>
          </w:p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за счет средств бюджетов муниципальных образований - 4000,0 тыс. рублей, в том числе:</w:t>
            </w:r>
          </w:p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2021 год - финансирование не предусмотрено;</w:t>
            </w:r>
          </w:p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2022 год - финансирование не предусмотрено;</w:t>
            </w:r>
          </w:p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2023 год - финансирование не предусмотрено;</w:t>
            </w:r>
          </w:p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2024 год - 2000,0 тыс. рублей;</w:t>
            </w:r>
          </w:p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2025 год - 2000,0 тыс. рублей;</w:t>
            </w:r>
          </w:p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за счет иных источников - 795110,0 тыс. рублей, в том числе:</w:t>
            </w:r>
          </w:p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2021 год - 421300,0 тыс. рублей;</w:t>
            </w:r>
          </w:p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2022 год - 126680,0 тыс. рублей;</w:t>
            </w:r>
          </w:p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2023 год - 82300,0 тыс. рублей;</w:t>
            </w:r>
          </w:p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2024 год - 83047,0 тыс. рублей;</w:t>
            </w:r>
          </w:p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2025 год - 81783,0 тыс. рублей</w:t>
            </w:r>
          </w:p>
        </w:tc>
      </w:tr>
      <w:tr w:rsidR="001A4A50" w:rsidRPr="00C91540">
        <w:tc>
          <w:tcPr>
            <w:tcW w:w="9071" w:type="dxa"/>
            <w:gridSpan w:val="2"/>
          </w:tcPr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(позиция в ред. </w:t>
            </w:r>
            <w:hyperlink r:id="rId19" w:history="1">
              <w:r w:rsidRPr="00C9154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Постановления</w:t>
              </w:r>
            </w:hyperlink>
            <w:r w:rsidRPr="00C91540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КБР от 09.09.2022 N 200-ПП)</w:t>
            </w:r>
          </w:p>
        </w:tc>
      </w:tr>
      <w:tr w:rsidR="001A4A50" w:rsidRPr="00C91540">
        <w:tc>
          <w:tcPr>
            <w:tcW w:w="1928" w:type="dxa"/>
          </w:tcPr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государственной программы</w:t>
            </w:r>
          </w:p>
        </w:tc>
        <w:tc>
          <w:tcPr>
            <w:tcW w:w="7143" w:type="dxa"/>
          </w:tcPr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снижение негативного воздействия экономической деятельности на окружающую среду в условиях реализации устойчивого экологического благополучия;</w:t>
            </w:r>
          </w:p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природных ресурсов, рекреационная привлекательность Кабардино-Балкарской Республики;</w:t>
            </w:r>
          </w:p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сохранение и расширение ареала обитания и численности некоторых видов животных;</w:t>
            </w:r>
          </w:p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создание системы непрерывного экологического образования, воспитания и просвещения населения в дошкольных, общеобразовательных организациях, организациях дополнительного образования, средствах массовой информации;</w:t>
            </w:r>
          </w:p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рекультивация 30 земельных участков из 112, выявленных на 1 января 2018 г. несанкционированных свалок, в том числе в границах городов;</w:t>
            </w:r>
          </w:p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ликвидация одного наиболее опасного объекта накопленного экологического вреда окружающей среде;</w:t>
            </w:r>
          </w:p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формирование комплексной системы обращения с твердыми коммунальными отходами, включая создание условий для вторичной переработки всех запрещенных к захоронению отходов производства и потребления;</w:t>
            </w:r>
          </w:p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>организация рациональной системы сбора твердых коммунальных отходов для предотвращения их вредного воздействия на окружающую среду и здоровье человека, а также вовлечения полезных компонентов, содержащихся в твердых коммунальных отходах, в хозяйственный оборот</w:t>
            </w:r>
          </w:p>
        </w:tc>
      </w:tr>
      <w:tr w:rsidR="001A4A50" w:rsidRPr="00C91540">
        <w:tc>
          <w:tcPr>
            <w:tcW w:w="9071" w:type="dxa"/>
            <w:gridSpan w:val="2"/>
          </w:tcPr>
          <w:p w:rsidR="001A4A50" w:rsidRPr="00C91540" w:rsidRDefault="001A4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540">
              <w:rPr>
                <w:rFonts w:ascii="Times New Roman" w:hAnsi="Times New Roman" w:cs="Times New Roman"/>
                <w:sz w:val="24"/>
                <w:szCs w:val="24"/>
              </w:rPr>
              <w:t xml:space="preserve">(позиция в ред. </w:t>
            </w:r>
            <w:hyperlink r:id="rId20" w:history="1">
              <w:r w:rsidRPr="00C9154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Постановления</w:t>
              </w:r>
            </w:hyperlink>
            <w:r w:rsidRPr="00C91540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КБР от 19.07.2021 N 156-ПП)</w:t>
            </w:r>
          </w:p>
        </w:tc>
      </w:tr>
    </w:tbl>
    <w:p w:rsidR="00AB4046" w:rsidRPr="00C91540" w:rsidRDefault="00AB4046" w:rsidP="001A4A50">
      <w:pPr>
        <w:rPr>
          <w:sz w:val="24"/>
          <w:szCs w:val="24"/>
        </w:rPr>
      </w:pPr>
    </w:p>
    <w:sectPr w:rsidR="00AB4046" w:rsidRPr="00C915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6D7"/>
    <w:rsid w:val="001546D7"/>
    <w:rsid w:val="001A4A50"/>
    <w:rsid w:val="00AB4046"/>
    <w:rsid w:val="00C9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B5EFCF-C7E7-44B6-A2AD-AC5354CFD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F4A51E8835DA6B1816443EE2E2F20DFA143A6D56318E2F392867265106854D8B1DBA67E66C99613619B73C9E2D024327FD1925524E5112672948fFQBN" TargetMode="External"/><Relationship Id="rId13" Type="http://schemas.openxmlformats.org/officeDocument/2006/relationships/hyperlink" Target="consultantplus://offline/ref=78F4A51E8835DA6B1816443EE2E2F20DFA143A6D573B8E2E382867265106854D8B1DBA67E66C99613619B13D9E2D024327FD1925524E5112672948fFQBN" TargetMode="External"/><Relationship Id="rId18" Type="http://schemas.openxmlformats.org/officeDocument/2006/relationships/hyperlink" Target="consultantplus://offline/ref=78F4A51E8835DA6B1816443EE2E2F20DFA143A6D593C8E2F3B2867265106854D8B1DBA67E66C99613619B6399E2D024327FD1925524E5112672948fFQBN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78F4A51E8835DA6B1816443EE2E2F20DFA143A6D56308720392867265106854D8B1DBA67E66C99613619B7309E2D024327FD1925524E5112672948fFQBN" TargetMode="External"/><Relationship Id="rId12" Type="http://schemas.openxmlformats.org/officeDocument/2006/relationships/hyperlink" Target="consultantplus://offline/ref=78F4A51E8835DA6B1816443EE2E2F20DFA143A6D573B8E2E382867265106854D8B1DBA67E66C99613619B33E9E2D024327FD1925524E5112672948fFQBN" TargetMode="External"/><Relationship Id="rId17" Type="http://schemas.openxmlformats.org/officeDocument/2006/relationships/hyperlink" Target="consultantplus://offline/ref=78F4A51E8835DA6B1816443EE2E2F20DFA143A6D573B8E2E382867265106854D8B1DBA67E66C99613618B43B9E2D024327FD1925524E5112672948fFQBN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78F4A51E8835DA6B1816443EE2E2F20DFA143A6D573B8E2E382867265106854D8B1DBA67E66C99613618B63C9E2D024327FD1925524E5112672948fFQBN" TargetMode="External"/><Relationship Id="rId20" Type="http://schemas.openxmlformats.org/officeDocument/2006/relationships/hyperlink" Target="consultantplus://offline/ref=78F4A51E8835DA6B1816443EE2E2F20DFA143A6D5639822E3B2867265106854D8B1DBA67E66C99613619B63B9E2D024327FD1925524E5112672948fFQBN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78F4A51E8835DA6B1816443EE2E2F20DFA143A6D563B842E3A2867265106854D8B1DBA67E66C99613619B7309E2D024327FD1925524E5112672948fFQBN" TargetMode="External"/><Relationship Id="rId11" Type="http://schemas.openxmlformats.org/officeDocument/2006/relationships/hyperlink" Target="consultantplus://offline/ref=78F4A51E8835DA6B1816443EE2E2F20DFA143A6D573B8E2E382867265106854D8B1DBA67E66C99613619B4399E2D024327FD1925524E5112672948fFQBN" TargetMode="External"/><Relationship Id="rId5" Type="http://schemas.openxmlformats.org/officeDocument/2006/relationships/hyperlink" Target="consultantplus://offline/ref=78F4A51E8835DA6B1816443EE2E2F20DFA143A6D5639822E3B2867265106854D8B1DBA67E66C99613619B7309E2D024327FD1925524E5112672948fFQBN" TargetMode="External"/><Relationship Id="rId15" Type="http://schemas.openxmlformats.org/officeDocument/2006/relationships/hyperlink" Target="consultantplus://offline/ref=78F4A51E8835DA6B1816443EE2E2F20DFA143A6D573B8E2E382867265106854D8B1DBA67E66C99613619BE319E2D024327FD1925524E5112672948fFQBN" TargetMode="External"/><Relationship Id="rId10" Type="http://schemas.openxmlformats.org/officeDocument/2006/relationships/hyperlink" Target="consultantplus://offline/ref=78F4A51E8835DA6B1816443EE2E2F20DFA143A6D573B8022372867265106854D8B1DBA67E66C99613619B7309E2D024327FD1925524E5112672948fFQBN" TargetMode="External"/><Relationship Id="rId19" Type="http://schemas.openxmlformats.org/officeDocument/2006/relationships/hyperlink" Target="consultantplus://offline/ref=78F4A51E8835DA6B1816443EE2E2F20DFA143A6D573B8022372867265106854D8B1DBA67E66C99613619B7309E2D024327FD1925524E5112672948fFQBN" TargetMode="External"/><Relationship Id="rId4" Type="http://schemas.openxmlformats.org/officeDocument/2006/relationships/hyperlink" Target="consultantplus://offline/ref=78F4A51E8835DA6B1816443EE2E2F20DFA143A6D593C8E2F3B2867265106854D8B1DBA67E66C99613619B7309E2D024327FD1925524E5112672948fFQBN" TargetMode="External"/><Relationship Id="rId9" Type="http://schemas.openxmlformats.org/officeDocument/2006/relationships/hyperlink" Target="consultantplus://offline/ref=78F4A51E8835DA6B1816443EE2E2F20DFA143A6D573A8020362867265106854D8B1DBA67E66C99613619B7309E2D024327FD1925524E5112672948fFQBN" TargetMode="External"/><Relationship Id="rId14" Type="http://schemas.openxmlformats.org/officeDocument/2006/relationships/hyperlink" Target="consultantplus://offline/ref=78F4A51E8835DA6B1816443EE2E2F20DFA143A6D573B8E2E382867265106854D8B1DBA67E66C99613619BF389E2D024327FD1925524E5112672948fFQBN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2066</Words>
  <Characters>11782</Characters>
  <Application>Microsoft Office Word</Application>
  <DocSecurity>0</DocSecurity>
  <Lines>98</Lines>
  <Paragraphs>27</Paragraphs>
  <ScaleCrop>false</ScaleCrop>
  <Company/>
  <LinksUpToDate>false</LinksUpToDate>
  <CharactersWithSpaces>13821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ООЭ Эздекова Наталья 134</dc:creator>
  <cp:keywords/>
  <dc:description/>
  <cp:lastModifiedBy>МБУ Казакова Фатима 124</cp:lastModifiedBy>
  <cp:revision>3</cp:revision>
  <dcterms:created xsi:type="dcterms:W3CDTF">2022-10-13T16:55:00Z</dcterms:created>
  <dcterms:modified xsi:type="dcterms:W3CDTF">2022-10-16T09:03:00Z</dcterms:modified>
</cp:coreProperties>
</file>